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E76D8" w14:textId="77777777" w:rsidR="009705D9" w:rsidRPr="002E3602" w:rsidRDefault="00D217E3" w:rsidP="00BE04C7">
      <w:pPr>
        <w:jc w:val="center"/>
        <w:rPr>
          <w:rFonts w:ascii="Century Gothic" w:hAnsi="Century Gothic"/>
          <w:b/>
          <w:sz w:val="22"/>
          <w:szCs w:val="22"/>
        </w:rPr>
      </w:pPr>
      <w:r w:rsidRPr="002E3602">
        <w:rPr>
          <w:rFonts w:ascii="Century Gothic" w:hAnsi="Century Gothic"/>
          <w:b/>
          <w:sz w:val="22"/>
          <w:szCs w:val="22"/>
        </w:rPr>
        <w:t>Task 2:  Polynomial Functions</w:t>
      </w:r>
      <w:bookmarkStart w:id="0" w:name="_GoBack"/>
      <w:bookmarkEnd w:id="0"/>
    </w:p>
    <w:p w14:paraId="33B21E67" w14:textId="77777777" w:rsidR="00EB4C4C" w:rsidRPr="00BE04C7" w:rsidRDefault="00EB4C4C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970"/>
        <w:gridCol w:w="971"/>
        <w:gridCol w:w="971"/>
        <w:gridCol w:w="971"/>
        <w:gridCol w:w="971"/>
      </w:tblGrid>
      <w:tr w:rsidR="00BE04C7" w:rsidRPr="00BE04C7" w14:paraId="73D1C078" w14:textId="77777777" w:rsidTr="00BE04C7">
        <w:trPr>
          <w:trHeight w:val="271"/>
        </w:trPr>
        <w:tc>
          <w:tcPr>
            <w:tcW w:w="6062" w:type="dxa"/>
          </w:tcPr>
          <w:p w14:paraId="53451867" w14:textId="77777777" w:rsidR="00BE04C7" w:rsidRPr="00BE04C7" w:rsidRDefault="00BE04C7" w:rsidP="00EB4C4C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0" w:type="dxa"/>
          </w:tcPr>
          <w:p w14:paraId="1CC61018" w14:textId="77777777" w:rsidR="00BE04C7" w:rsidRPr="00BE04C7" w:rsidRDefault="00BE04C7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</w:p>
        </w:tc>
        <w:tc>
          <w:tcPr>
            <w:tcW w:w="971" w:type="dxa"/>
          </w:tcPr>
          <w:p w14:paraId="7564390A" w14:textId="77777777" w:rsidR="00BE04C7" w:rsidRPr="00BE04C7" w:rsidRDefault="00BE04C7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20ED2A0C" w14:textId="77777777" w:rsidR="00BE04C7" w:rsidRPr="00BE04C7" w:rsidRDefault="00BE04C7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971" w:type="dxa"/>
          </w:tcPr>
          <w:p w14:paraId="4572DA1D" w14:textId="77777777" w:rsidR="00BE04C7" w:rsidRPr="00BE04C7" w:rsidRDefault="00BE04C7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971" w:type="dxa"/>
          </w:tcPr>
          <w:p w14:paraId="62265683" w14:textId="77777777" w:rsidR="00BE04C7" w:rsidRPr="00BE04C7" w:rsidRDefault="00BE04C7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</w:tr>
      <w:tr w:rsidR="00BE04C7" w:rsidRPr="00BE04C7" w14:paraId="771ED433" w14:textId="77777777" w:rsidTr="00BE04C7">
        <w:trPr>
          <w:trHeight w:val="590"/>
        </w:trPr>
        <w:tc>
          <w:tcPr>
            <w:tcW w:w="6062" w:type="dxa"/>
          </w:tcPr>
          <w:p w14:paraId="50D1B67A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16"/>
                <w:szCs w:val="16"/>
              </w:rPr>
            </w:pPr>
            <w:r w:rsidRPr="00BE04C7">
              <w:rPr>
                <w:rFonts w:ascii="Century Gothic" w:hAnsi="Century Gothic"/>
                <w:sz w:val="16"/>
                <w:szCs w:val="16"/>
              </w:rPr>
              <w:t xml:space="preserve">Identify and describe some key features of polynomial functions, and make connections between the numeric, graphical, and algebraic representations of polynomial functions; </w:t>
            </w:r>
          </w:p>
        </w:tc>
        <w:tc>
          <w:tcPr>
            <w:tcW w:w="970" w:type="dxa"/>
          </w:tcPr>
          <w:p w14:paraId="18523BF7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71" w:type="dxa"/>
          </w:tcPr>
          <w:p w14:paraId="25D33DCF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71" w:type="dxa"/>
          </w:tcPr>
          <w:p w14:paraId="33F70830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71" w:type="dxa"/>
          </w:tcPr>
          <w:p w14:paraId="2701F90C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71" w:type="dxa"/>
          </w:tcPr>
          <w:p w14:paraId="11BC1283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E04C7" w:rsidRPr="00BE04C7" w14:paraId="7E1217DB" w14:textId="77777777" w:rsidTr="00BE04C7">
        <w:trPr>
          <w:trHeight w:val="606"/>
        </w:trPr>
        <w:tc>
          <w:tcPr>
            <w:tcW w:w="6062" w:type="dxa"/>
          </w:tcPr>
          <w:p w14:paraId="74BF9399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16"/>
                <w:szCs w:val="16"/>
              </w:rPr>
            </w:pPr>
            <w:r w:rsidRPr="00BE04C7">
              <w:rPr>
                <w:rFonts w:ascii="Century Gothic" w:hAnsi="Century Gothic"/>
                <w:sz w:val="16"/>
                <w:szCs w:val="16"/>
              </w:rPr>
              <w:t xml:space="preserve">Solve problems involving polynomial and simple rational equations graphically and algebraically; </w:t>
            </w:r>
          </w:p>
          <w:p w14:paraId="748E4426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14:paraId="10D9517B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71" w:type="dxa"/>
          </w:tcPr>
          <w:p w14:paraId="7C178FE8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71" w:type="dxa"/>
          </w:tcPr>
          <w:p w14:paraId="2EF8A846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71" w:type="dxa"/>
          </w:tcPr>
          <w:p w14:paraId="145C5BFA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71" w:type="dxa"/>
          </w:tcPr>
          <w:p w14:paraId="3641316E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E04C7" w:rsidRPr="00BE04C7" w14:paraId="0C199105" w14:textId="77777777" w:rsidTr="00BE04C7">
        <w:trPr>
          <w:trHeight w:val="606"/>
        </w:trPr>
        <w:tc>
          <w:tcPr>
            <w:tcW w:w="6062" w:type="dxa"/>
          </w:tcPr>
          <w:p w14:paraId="172A3707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16"/>
                <w:szCs w:val="16"/>
              </w:rPr>
            </w:pPr>
            <w:r w:rsidRPr="00BE04C7">
              <w:rPr>
                <w:rFonts w:ascii="Century Gothic" w:hAnsi="Century Gothic"/>
                <w:sz w:val="16"/>
                <w:szCs w:val="16"/>
              </w:rPr>
              <w:t>Demonstrate an understanding of solving polynomial and simple rational inequalities.</w:t>
            </w:r>
          </w:p>
          <w:p w14:paraId="498DD4CB" w14:textId="77777777" w:rsidR="00BE04C7" w:rsidRPr="00BE04C7" w:rsidRDefault="00BE04C7" w:rsidP="00EB4C4C">
            <w:pPr>
              <w:pStyle w:val="HTMLPreformatted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14:paraId="61295400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71" w:type="dxa"/>
          </w:tcPr>
          <w:p w14:paraId="09885F31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71" w:type="dxa"/>
          </w:tcPr>
          <w:p w14:paraId="4FB89073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71" w:type="dxa"/>
          </w:tcPr>
          <w:p w14:paraId="768A67B6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71" w:type="dxa"/>
          </w:tcPr>
          <w:p w14:paraId="36B9AC73" w14:textId="77777777" w:rsidR="00EB4C4C" w:rsidRPr="00BE04C7" w:rsidRDefault="00EB4C4C" w:rsidP="00EB4C4C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BDD2D1B" w14:textId="77777777" w:rsidR="009705D9" w:rsidRPr="00BE04C7" w:rsidRDefault="009705D9">
      <w:pPr>
        <w:rPr>
          <w:rFonts w:ascii="Century Gothic" w:hAnsi="Century Gothic"/>
          <w:sz w:val="22"/>
          <w:szCs w:val="22"/>
        </w:rPr>
      </w:pPr>
    </w:p>
    <w:p w14:paraId="7F1838CD" w14:textId="4E08F1BC" w:rsidR="009705D9" w:rsidRPr="00BE04C7" w:rsidRDefault="00D217E3">
      <w:pPr>
        <w:rPr>
          <w:rFonts w:ascii="Century Gothic" w:hAnsi="Century Gothic"/>
          <w:sz w:val="22"/>
          <w:szCs w:val="22"/>
        </w:rPr>
      </w:pPr>
      <w:r w:rsidRPr="00BE04C7">
        <w:rPr>
          <w:rFonts w:ascii="Century Gothic" w:hAnsi="Century Gothic"/>
          <w:sz w:val="22"/>
          <w:szCs w:val="22"/>
        </w:rPr>
        <w:t xml:space="preserve">Thangaraj Shoe Company has recently entered the shoe market.  </w:t>
      </w:r>
      <w:r w:rsidR="002E3602" w:rsidRPr="00BE04C7">
        <w:rPr>
          <w:rFonts w:ascii="Century Gothic" w:hAnsi="Century Gothic"/>
          <w:sz w:val="22"/>
          <w:szCs w:val="22"/>
        </w:rPr>
        <w:t>It is tracking the relation between the total sales and t</w:t>
      </w:r>
      <w:r w:rsidR="002E3602">
        <w:rPr>
          <w:rFonts w:ascii="Century Gothic" w:hAnsi="Century Gothic"/>
          <w:sz w:val="22"/>
          <w:szCs w:val="22"/>
        </w:rPr>
        <w:t xml:space="preserve">he number of dollars spent on </w:t>
      </w:r>
      <w:r w:rsidR="002E3602" w:rsidRPr="00BE04C7">
        <w:rPr>
          <w:rFonts w:ascii="Century Gothic" w:hAnsi="Century Gothic"/>
          <w:sz w:val="22"/>
          <w:szCs w:val="22"/>
        </w:rPr>
        <w:t xml:space="preserve">its most recent advertising campaign.  </w:t>
      </w:r>
      <w:r w:rsidR="009705D9" w:rsidRPr="00BE04C7">
        <w:rPr>
          <w:rFonts w:ascii="Century Gothic" w:hAnsi="Century Gothic"/>
          <w:sz w:val="22"/>
          <w:szCs w:val="22"/>
        </w:rPr>
        <w:t>Below is a table that compares their advertising budget and their sales.</w:t>
      </w:r>
    </w:p>
    <w:tbl>
      <w:tblPr>
        <w:tblStyle w:val="TableGrid"/>
        <w:tblW w:w="0" w:type="auto"/>
        <w:jc w:val="center"/>
        <w:tblInd w:w="-96" w:type="dxa"/>
        <w:tblLook w:val="04A0" w:firstRow="1" w:lastRow="0" w:firstColumn="1" w:lastColumn="0" w:noHBand="0" w:noVBand="1"/>
      </w:tblPr>
      <w:tblGrid>
        <w:gridCol w:w="2763"/>
        <w:gridCol w:w="2597"/>
      </w:tblGrid>
      <w:tr w:rsidR="009705D9" w:rsidRPr="00BE04C7" w14:paraId="007B79FC" w14:textId="77777777" w:rsidTr="00EB4C4C">
        <w:trPr>
          <w:trHeight w:val="1085"/>
          <w:jc w:val="center"/>
        </w:trPr>
        <w:tc>
          <w:tcPr>
            <w:tcW w:w="2763" w:type="dxa"/>
          </w:tcPr>
          <w:p w14:paraId="5F480210" w14:textId="77777777" w:rsidR="009705D9" w:rsidRPr="00BE04C7" w:rsidRDefault="009705D9" w:rsidP="00EB4C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 xml:space="preserve">Advertising Budget, in </w:t>
            </w:r>
            <w:r w:rsidRPr="00BE04C7">
              <w:rPr>
                <w:rFonts w:ascii="Century Gothic" w:hAnsi="Century Gothic"/>
                <w:b/>
                <w:sz w:val="22"/>
                <w:szCs w:val="22"/>
              </w:rPr>
              <w:t>tens of thousands</w:t>
            </w:r>
            <w:r w:rsidRPr="00BE04C7">
              <w:rPr>
                <w:rFonts w:ascii="Century Gothic" w:hAnsi="Century Gothic"/>
                <w:sz w:val="22"/>
                <w:szCs w:val="22"/>
              </w:rPr>
              <w:t xml:space="preserve"> of dollars</w:t>
            </w:r>
          </w:p>
          <w:p w14:paraId="688407BC" w14:textId="77777777" w:rsidR="009705D9" w:rsidRPr="00BE04C7" w:rsidRDefault="00EB4C4C" w:rsidP="00EB4C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oMath>
            </m:oMathPara>
          </w:p>
        </w:tc>
        <w:tc>
          <w:tcPr>
            <w:tcW w:w="2597" w:type="dxa"/>
          </w:tcPr>
          <w:p w14:paraId="2C29B507" w14:textId="77777777" w:rsidR="009705D9" w:rsidRPr="00BE04C7" w:rsidRDefault="009705D9" w:rsidP="00EB4C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 xml:space="preserve">Sales in </w:t>
            </w:r>
            <w:r w:rsidRPr="00BE04C7">
              <w:rPr>
                <w:rFonts w:ascii="Century Gothic" w:hAnsi="Century Gothic"/>
                <w:b/>
                <w:sz w:val="22"/>
                <w:szCs w:val="22"/>
              </w:rPr>
              <w:t>hundreds of thousands</w:t>
            </w:r>
            <w:r w:rsidRPr="00BE04C7">
              <w:rPr>
                <w:rFonts w:ascii="Century Gothic" w:hAnsi="Century Gothic"/>
                <w:sz w:val="22"/>
                <w:szCs w:val="22"/>
              </w:rPr>
              <w:t xml:space="preserve"> of dollars</w:t>
            </w:r>
          </w:p>
          <w:p w14:paraId="57129F70" w14:textId="77777777" w:rsidR="009705D9" w:rsidRPr="00BE04C7" w:rsidRDefault="00EB4C4C" w:rsidP="00EB4C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oMath>
            </m:oMathPara>
          </w:p>
        </w:tc>
      </w:tr>
      <w:tr w:rsidR="009705D9" w:rsidRPr="00BE04C7" w14:paraId="468E4218" w14:textId="77777777" w:rsidTr="00EB4C4C">
        <w:trPr>
          <w:trHeight w:val="262"/>
          <w:jc w:val="center"/>
        </w:trPr>
        <w:tc>
          <w:tcPr>
            <w:tcW w:w="2763" w:type="dxa"/>
          </w:tcPr>
          <w:p w14:paraId="1C037A69" w14:textId="77777777" w:rsidR="009705D9" w:rsidRPr="00BE04C7" w:rsidRDefault="009705D9" w:rsidP="009705D9">
            <w:pPr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>50</w:t>
            </w:r>
          </w:p>
        </w:tc>
        <w:tc>
          <w:tcPr>
            <w:tcW w:w="2597" w:type="dxa"/>
          </w:tcPr>
          <w:p w14:paraId="4C7BDB06" w14:textId="77777777" w:rsidR="009705D9" w:rsidRPr="00BE04C7" w:rsidRDefault="009705D9" w:rsidP="009705D9">
            <w:pPr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>34</w:t>
            </w:r>
          </w:p>
        </w:tc>
      </w:tr>
      <w:tr w:rsidR="009705D9" w:rsidRPr="00BE04C7" w14:paraId="0006D8AC" w14:textId="77777777" w:rsidTr="00EB4C4C">
        <w:trPr>
          <w:trHeight w:val="282"/>
          <w:jc w:val="center"/>
        </w:trPr>
        <w:tc>
          <w:tcPr>
            <w:tcW w:w="2763" w:type="dxa"/>
          </w:tcPr>
          <w:p w14:paraId="5A8A6AD5" w14:textId="77777777" w:rsidR="009705D9" w:rsidRPr="00BE04C7" w:rsidRDefault="009705D9" w:rsidP="009705D9">
            <w:pPr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>100</w:t>
            </w:r>
          </w:p>
        </w:tc>
        <w:tc>
          <w:tcPr>
            <w:tcW w:w="2597" w:type="dxa"/>
          </w:tcPr>
          <w:p w14:paraId="0B315E99" w14:textId="77777777" w:rsidR="009705D9" w:rsidRPr="00BE04C7" w:rsidRDefault="009705D9" w:rsidP="009705D9">
            <w:pPr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>125</w:t>
            </w:r>
          </w:p>
        </w:tc>
      </w:tr>
      <w:tr w:rsidR="009705D9" w:rsidRPr="00BE04C7" w14:paraId="6E3D842D" w14:textId="77777777" w:rsidTr="00EB4C4C">
        <w:trPr>
          <w:trHeight w:val="262"/>
          <w:jc w:val="center"/>
        </w:trPr>
        <w:tc>
          <w:tcPr>
            <w:tcW w:w="2763" w:type="dxa"/>
          </w:tcPr>
          <w:p w14:paraId="21B2DDBB" w14:textId="77777777" w:rsidR="009705D9" w:rsidRPr="00BE04C7" w:rsidRDefault="009705D9" w:rsidP="009705D9">
            <w:pPr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>150</w:t>
            </w:r>
          </w:p>
        </w:tc>
        <w:tc>
          <w:tcPr>
            <w:tcW w:w="2597" w:type="dxa"/>
          </w:tcPr>
          <w:p w14:paraId="65F11EF5" w14:textId="77777777" w:rsidR="009705D9" w:rsidRPr="00BE04C7" w:rsidRDefault="009705D9" w:rsidP="009705D9">
            <w:pPr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>253</w:t>
            </w:r>
          </w:p>
        </w:tc>
      </w:tr>
      <w:tr w:rsidR="009705D9" w:rsidRPr="00BE04C7" w14:paraId="615111E9" w14:textId="77777777" w:rsidTr="00EB4C4C">
        <w:trPr>
          <w:trHeight w:val="282"/>
          <w:jc w:val="center"/>
        </w:trPr>
        <w:tc>
          <w:tcPr>
            <w:tcW w:w="2763" w:type="dxa"/>
          </w:tcPr>
          <w:p w14:paraId="4904B71F" w14:textId="77777777" w:rsidR="009705D9" w:rsidRPr="00BE04C7" w:rsidRDefault="009705D9" w:rsidP="009705D9">
            <w:pPr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>200</w:t>
            </w:r>
          </w:p>
        </w:tc>
        <w:tc>
          <w:tcPr>
            <w:tcW w:w="2597" w:type="dxa"/>
          </w:tcPr>
          <w:p w14:paraId="54F1F501" w14:textId="77777777" w:rsidR="009705D9" w:rsidRPr="00BE04C7" w:rsidRDefault="009705D9" w:rsidP="009705D9">
            <w:pPr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>400</w:t>
            </w:r>
          </w:p>
        </w:tc>
      </w:tr>
      <w:tr w:rsidR="009705D9" w:rsidRPr="00BE04C7" w14:paraId="5308BED5" w14:textId="77777777" w:rsidTr="00EB4C4C">
        <w:trPr>
          <w:trHeight w:val="262"/>
          <w:jc w:val="center"/>
        </w:trPr>
        <w:tc>
          <w:tcPr>
            <w:tcW w:w="2763" w:type="dxa"/>
          </w:tcPr>
          <w:p w14:paraId="7E28FCB8" w14:textId="77777777" w:rsidR="009705D9" w:rsidRPr="00BE04C7" w:rsidRDefault="009705D9" w:rsidP="009705D9">
            <w:pPr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>250</w:t>
            </w:r>
          </w:p>
        </w:tc>
        <w:tc>
          <w:tcPr>
            <w:tcW w:w="2597" w:type="dxa"/>
          </w:tcPr>
          <w:p w14:paraId="05742053" w14:textId="77777777" w:rsidR="009705D9" w:rsidRPr="00BE04C7" w:rsidRDefault="009705D9" w:rsidP="009705D9">
            <w:pPr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>547</w:t>
            </w:r>
          </w:p>
        </w:tc>
      </w:tr>
      <w:tr w:rsidR="009705D9" w:rsidRPr="00BE04C7" w14:paraId="44CDC8C5" w14:textId="77777777" w:rsidTr="00EB4C4C">
        <w:trPr>
          <w:trHeight w:val="282"/>
          <w:jc w:val="center"/>
        </w:trPr>
        <w:tc>
          <w:tcPr>
            <w:tcW w:w="2763" w:type="dxa"/>
          </w:tcPr>
          <w:p w14:paraId="118DD171" w14:textId="77777777" w:rsidR="009705D9" w:rsidRPr="00BE04C7" w:rsidRDefault="009705D9" w:rsidP="009705D9">
            <w:pPr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>300</w:t>
            </w:r>
          </w:p>
        </w:tc>
        <w:tc>
          <w:tcPr>
            <w:tcW w:w="2597" w:type="dxa"/>
          </w:tcPr>
          <w:p w14:paraId="08A88A49" w14:textId="77777777" w:rsidR="009705D9" w:rsidRPr="00BE04C7" w:rsidRDefault="009705D9" w:rsidP="009705D9">
            <w:pPr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>675</w:t>
            </w:r>
          </w:p>
        </w:tc>
      </w:tr>
      <w:tr w:rsidR="009705D9" w:rsidRPr="00BE04C7" w14:paraId="1015E916" w14:textId="77777777" w:rsidTr="00EB4C4C">
        <w:trPr>
          <w:trHeight w:val="282"/>
          <w:jc w:val="center"/>
        </w:trPr>
        <w:tc>
          <w:tcPr>
            <w:tcW w:w="2763" w:type="dxa"/>
          </w:tcPr>
          <w:p w14:paraId="259BF487" w14:textId="77777777" w:rsidR="009705D9" w:rsidRPr="00BE04C7" w:rsidRDefault="009705D9" w:rsidP="009705D9">
            <w:pPr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>350</w:t>
            </w:r>
          </w:p>
        </w:tc>
        <w:tc>
          <w:tcPr>
            <w:tcW w:w="2597" w:type="dxa"/>
          </w:tcPr>
          <w:p w14:paraId="6B00930A" w14:textId="77777777" w:rsidR="009705D9" w:rsidRPr="00BE04C7" w:rsidRDefault="009705D9" w:rsidP="009705D9">
            <w:pPr>
              <w:rPr>
                <w:rFonts w:ascii="Century Gothic" w:hAnsi="Century Gothic"/>
                <w:sz w:val="22"/>
                <w:szCs w:val="22"/>
              </w:rPr>
            </w:pPr>
            <w:r w:rsidRPr="00BE04C7">
              <w:rPr>
                <w:rFonts w:ascii="Century Gothic" w:hAnsi="Century Gothic"/>
                <w:sz w:val="22"/>
                <w:szCs w:val="22"/>
              </w:rPr>
              <w:t>765.5</w:t>
            </w:r>
          </w:p>
        </w:tc>
      </w:tr>
    </w:tbl>
    <w:p w14:paraId="339BAD9C" w14:textId="77777777" w:rsidR="009705D9" w:rsidRPr="00BE04C7" w:rsidRDefault="009705D9">
      <w:pPr>
        <w:rPr>
          <w:rFonts w:ascii="Century Gothic" w:hAnsi="Century Gothic"/>
          <w:sz w:val="22"/>
          <w:szCs w:val="22"/>
        </w:rPr>
      </w:pPr>
    </w:p>
    <w:p w14:paraId="7660117C" w14:textId="77777777" w:rsidR="009705D9" w:rsidRPr="00BE04C7" w:rsidRDefault="009705D9" w:rsidP="009705D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E04C7">
        <w:rPr>
          <w:rFonts w:ascii="Century Gothic" w:hAnsi="Century Gothic"/>
          <w:sz w:val="22"/>
          <w:szCs w:val="22"/>
        </w:rPr>
        <w:t>Plot the data by hand on a graph.</w:t>
      </w:r>
    </w:p>
    <w:p w14:paraId="5E8BBDC0" w14:textId="77777777" w:rsidR="009705D9" w:rsidRPr="00BE04C7" w:rsidRDefault="009705D9" w:rsidP="009705D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E04C7">
        <w:rPr>
          <w:rFonts w:ascii="Century Gothic" w:hAnsi="Century Gothic"/>
          <w:sz w:val="22"/>
          <w:szCs w:val="22"/>
        </w:rPr>
        <w:t>What is the degree of</w:t>
      </w:r>
      <w:r w:rsidR="00D217E3" w:rsidRPr="00BE04C7">
        <w:rPr>
          <w:rFonts w:ascii="Century Gothic" w:hAnsi="Century Gothic"/>
          <w:sz w:val="22"/>
          <w:szCs w:val="22"/>
        </w:rPr>
        <w:t xml:space="preserve"> the</w:t>
      </w:r>
      <w:r w:rsidRPr="00BE04C7">
        <w:rPr>
          <w:rFonts w:ascii="Century Gothic" w:hAnsi="Century Gothic"/>
          <w:sz w:val="22"/>
          <w:szCs w:val="22"/>
        </w:rPr>
        <w:t xml:space="preserve"> function that can be used to model this data?  Explain how you know.</w:t>
      </w:r>
    </w:p>
    <w:p w14:paraId="31FB6AC2" w14:textId="77777777" w:rsidR="009705D9" w:rsidRPr="00BE04C7" w:rsidRDefault="009705D9" w:rsidP="009705D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E04C7">
        <w:rPr>
          <w:rFonts w:ascii="Century Gothic" w:hAnsi="Century Gothic"/>
          <w:sz w:val="22"/>
          <w:szCs w:val="22"/>
        </w:rPr>
        <w:t xml:space="preserve">Determine an equation that models this data.  </w:t>
      </w:r>
    </w:p>
    <w:p w14:paraId="153B5F8F" w14:textId="77777777" w:rsidR="009705D9" w:rsidRPr="00BE04C7" w:rsidRDefault="009705D9" w:rsidP="009705D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E04C7">
        <w:rPr>
          <w:rFonts w:ascii="Century Gothic" w:hAnsi="Century Gothic"/>
          <w:sz w:val="22"/>
          <w:szCs w:val="22"/>
        </w:rPr>
        <w:t>Describe what is happening to sales in relation to the advertising budget.</w:t>
      </w:r>
    </w:p>
    <w:p w14:paraId="21CDA494" w14:textId="77777777" w:rsidR="009705D9" w:rsidRPr="00BE04C7" w:rsidRDefault="009705D9" w:rsidP="009705D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E04C7">
        <w:rPr>
          <w:rFonts w:ascii="Century Gothic" w:hAnsi="Century Gothic"/>
          <w:sz w:val="22"/>
          <w:szCs w:val="22"/>
        </w:rPr>
        <w:t>Does it seem that the domain should be restricted?  (i.e. the function doesn’t seem to make sense for some x-values).  If so, how should it be restricted?</w:t>
      </w:r>
    </w:p>
    <w:p w14:paraId="692F7B02" w14:textId="77777777" w:rsidR="00BA6280" w:rsidRPr="00BE04C7" w:rsidRDefault="00BA6280" w:rsidP="009705D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E04C7">
        <w:rPr>
          <w:rFonts w:ascii="Century Gothic" w:hAnsi="Century Gothic"/>
          <w:sz w:val="22"/>
          <w:szCs w:val="22"/>
        </w:rPr>
        <w:t>According to the model, when does the company reach $10 000 000?</w:t>
      </w:r>
    </w:p>
    <w:p w14:paraId="5D8EF33C" w14:textId="77777777" w:rsidR="00BA6280" w:rsidRPr="00BE04C7" w:rsidRDefault="009705D9" w:rsidP="00BA628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E04C7">
        <w:rPr>
          <w:rFonts w:ascii="Century Gothic" w:hAnsi="Century Gothic"/>
          <w:sz w:val="22"/>
          <w:szCs w:val="22"/>
        </w:rPr>
        <w:t>Acco</w:t>
      </w:r>
      <w:r w:rsidR="00BA6280" w:rsidRPr="00BE04C7">
        <w:rPr>
          <w:rFonts w:ascii="Century Gothic" w:hAnsi="Century Gothic"/>
          <w:sz w:val="22"/>
          <w:szCs w:val="22"/>
        </w:rPr>
        <w:t>rding to the model, when are the sales less more than $50 000 000?</w:t>
      </w:r>
    </w:p>
    <w:p w14:paraId="50163A22" w14:textId="77777777" w:rsidR="00EB4C4C" w:rsidRPr="00BE04C7" w:rsidRDefault="00EB4C4C" w:rsidP="00EB4C4C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E04C7">
        <w:rPr>
          <w:rFonts w:ascii="Century Gothic" w:hAnsi="Century Gothic"/>
          <w:sz w:val="22"/>
          <w:szCs w:val="22"/>
        </w:rPr>
        <w:t xml:space="preserve">Create a sales (revenue) vs. advertising graph for Nike (see below). </w:t>
      </w:r>
      <w:r w:rsidR="00D217E3" w:rsidRPr="00BE04C7">
        <w:rPr>
          <w:rFonts w:ascii="Century Gothic" w:hAnsi="Century Gothic"/>
          <w:sz w:val="22"/>
          <w:szCs w:val="22"/>
        </w:rPr>
        <w:t>Compare</w:t>
      </w:r>
      <w:r w:rsidRPr="00BE04C7">
        <w:rPr>
          <w:rFonts w:ascii="Century Gothic" w:hAnsi="Century Gothic"/>
          <w:sz w:val="22"/>
          <w:szCs w:val="22"/>
        </w:rPr>
        <w:t xml:space="preserve"> the relationship between sales and advertising for</w:t>
      </w:r>
      <w:r w:rsidR="00D217E3" w:rsidRPr="00BE04C7">
        <w:rPr>
          <w:rFonts w:ascii="Century Gothic" w:hAnsi="Century Gothic"/>
          <w:sz w:val="22"/>
          <w:szCs w:val="22"/>
        </w:rPr>
        <w:t xml:space="preserve"> Thangaraj Shoe Company</w:t>
      </w:r>
      <w:r w:rsidRPr="00BE04C7">
        <w:rPr>
          <w:rFonts w:ascii="Century Gothic" w:hAnsi="Century Gothic"/>
          <w:sz w:val="22"/>
          <w:szCs w:val="22"/>
        </w:rPr>
        <w:t xml:space="preserve"> vs. that of Nike.</w:t>
      </w:r>
    </w:p>
    <w:p w14:paraId="7FC1156C" w14:textId="77777777" w:rsidR="00EB4C4C" w:rsidRPr="00BE04C7" w:rsidRDefault="00EB4C4C" w:rsidP="00EB4C4C">
      <w:pPr>
        <w:pStyle w:val="ListParagraph"/>
        <w:rPr>
          <w:rFonts w:ascii="Century Gothic" w:hAnsi="Century Gothic"/>
          <w:sz w:val="22"/>
          <w:szCs w:val="22"/>
        </w:rPr>
      </w:pPr>
    </w:p>
    <w:p w14:paraId="2D5FBFBB" w14:textId="77777777" w:rsidR="00BA6280" w:rsidRPr="00BE04C7" w:rsidRDefault="00BA6280" w:rsidP="00BA6280">
      <w:pPr>
        <w:pStyle w:val="ListParagraph"/>
        <w:rPr>
          <w:rFonts w:ascii="Century Gothic" w:hAnsi="Century Gothic"/>
          <w:sz w:val="22"/>
          <w:szCs w:val="22"/>
        </w:rPr>
      </w:pPr>
      <w:hyperlink r:id="rId6" w:history="1">
        <w:r w:rsidRPr="00BE04C7">
          <w:rPr>
            <w:rStyle w:val="Hyperlink"/>
            <w:rFonts w:ascii="Century Gothic" w:hAnsi="Century Gothic"/>
            <w:sz w:val="22"/>
            <w:szCs w:val="22"/>
          </w:rPr>
          <w:t>http://fortunedotcom.files.wordpress.com/2012/02/nike_advertising_revenue.jpg</w:t>
        </w:r>
      </w:hyperlink>
    </w:p>
    <w:p w14:paraId="4D4B2733" w14:textId="77777777" w:rsidR="009705D9" w:rsidRDefault="00BA6280" w:rsidP="00EB4C4C">
      <w:pPr>
        <w:pStyle w:val="ListParagraph"/>
      </w:pPr>
      <w:r>
        <w:rPr>
          <w:rFonts w:ascii="Helvetica" w:hAnsi="Helvetica" w:cs="Helvetica"/>
          <w:noProof/>
        </w:rPr>
        <w:drawing>
          <wp:inline distT="0" distB="0" distL="0" distR="0" wp14:anchorId="572BA731" wp14:editId="40B9F092">
            <wp:extent cx="45720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5D9" w:rsidSect="00D217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5C6"/>
    <w:multiLevelType w:val="hybridMultilevel"/>
    <w:tmpl w:val="6EEA8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9"/>
    <w:rsid w:val="002E3602"/>
    <w:rsid w:val="00553CC3"/>
    <w:rsid w:val="009705D9"/>
    <w:rsid w:val="00BA6280"/>
    <w:rsid w:val="00BE04C7"/>
    <w:rsid w:val="00D217E3"/>
    <w:rsid w:val="00E73D89"/>
    <w:rsid w:val="00E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DE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7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28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EB4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B4C4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7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28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EB4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B4C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ortunedotcom.files.wordpress.com/2012/02/nike_advertising_revenue.jpg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3</cp:revision>
  <dcterms:created xsi:type="dcterms:W3CDTF">2014-10-03T00:14:00Z</dcterms:created>
  <dcterms:modified xsi:type="dcterms:W3CDTF">2014-10-03T00:53:00Z</dcterms:modified>
</cp:coreProperties>
</file>